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D7A" w:rsidRPr="00D94D7A" w:rsidRDefault="00D94D7A" w:rsidP="00D94D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94D7A">
        <w:rPr>
          <w:rFonts w:ascii="Times New Roman" w:hAnsi="Times New Roman" w:cs="Times New Roman"/>
          <w:b/>
          <w:sz w:val="28"/>
          <w:szCs w:val="28"/>
        </w:rPr>
        <w:t>ВІДПОВІДІ НА ПОШИРЕНІ ПИТАННЯ ЩОДО Е-ЛІКАРНЯНИХ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>Уже з першого жовтня електронні лікарняні повністю замінять своїх паперових попередників. Упродовж наступних двох тижнів інформаційні системи, протоколи обміну даними і правила створення медичних висновків доопрацюють – аби врахувати помилки і нюанси, до яких виникали питання у лікарів, працівників і роботодавців під час тестового періоду.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 xml:space="preserve">Тож у жовтні деякі норми, що діють зараз, будуть модернізовані. Наприклад, зміниться термін </w:t>
      </w:r>
      <w:proofErr w:type="spellStart"/>
      <w:r w:rsidRPr="00D94D7A">
        <w:rPr>
          <w:rFonts w:ascii="Times New Roman" w:hAnsi="Times New Roman" w:cs="Times New Roman"/>
          <w:color w:val="000000"/>
          <w:sz w:val="28"/>
          <w:szCs w:val="28"/>
        </w:rPr>
        <w:t>формування </w:t>
      </w:r>
      <w:r w:rsidRPr="00D94D7A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ме</w:t>
      </w:r>
      <w:proofErr w:type="spellEnd"/>
      <w:r w:rsidRPr="00D94D7A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двисновку</w:t>
      </w:r>
      <w:r w:rsidRPr="00D94D7A">
        <w:rPr>
          <w:rFonts w:ascii="Times New Roman" w:hAnsi="Times New Roman" w:cs="Times New Roman"/>
          <w:color w:val="000000"/>
          <w:sz w:val="28"/>
          <w:szCs w:val="28"/>
        </w:rPr>
        <w:t> і номер е-лікарняного.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 xml:space="preserve">Але більшість положень залишаться чинними – головні з них ми докладно роз’яснили у серії публікацій про електронні лікарняні (у </w:t>
      </w:r>
      <w:proofErr w:type="spellStart"/>
      <w:r w:rsidRPr="00D94D7A">
        <w:rPr>
          <w:rFonts w:ascii="Times New Roman" w:hAnsi="Times New Roman" w:cs="Times New Roman"/>
          <w:color w:val="000000"/>
          <w:sz w:val="28"/>
          <w:szCs w:val="28"/>
        </w:rPr>
        <w:t>телег</w:t>
      </w:r>
      <w:proofErr w:type="spellEnd"/>
      <w:r w:rsidRPr="00D94D7A">
        <w:rPr>
          <w:rFonts w:ascii="Times New Roman" w:hAnsi="Times New Roman" w:cs="Times New Roman"/>
          <w:color w:val="000000"/>
          <w:sz w:val="28"/>
          <w:szCs w:val="28"/>
        </w:rPr>
        <w:t>рам-каналі </w:t>
      </w:r>
      <w:hyperlink r:id="rId6" w:history="1">
        <w:r w:rsidRPr="00D94D7A">
          <w:rPr>
            <w:rStyle w:val="af1"/>
            <w:rFonts w:ascii="Times New Roman" w:hAnsi="Times New Roman" w:cs="Times New Roman"/>
            <w:sz w:val="28"/>
            <w:szCs w:val="28"/>
          </w:rPr>
          <w:t>https://t.me/socialfund</w:t>
        </w:r>
      </w:hyperlink>
      <w:r w:rsidRPr="00D94D7A">
        <w:rPr>
          <w:rFonts w:ascii="Times New Roman" w:hAnsi="Times New Roman" w:cs="Times New Roman"/>
          <w:color w:val="000000"/>
          <w:sz w:val="28"/>
          <w:szCs w:val="28"/>
        </w:rPr>
        <w:t> їх можна зручно знайти за тегом </w:t>
      </w:r>
      <w:r w:rsidRPr="00D94D7A">
        <w:rPr>
          <w:rFonts w:ascii="Times New Roman" w:hAnsi="Times New Roman" w:cs="Times New Roman"/>
          <w:color w:val="000000"/>
          <w:sz w:val="28"/>
          <w:szCs w:val="28"/>
          <w:lang w:val="ru-RU"/>
        </w:rPr>
        <w:t>#</w:t>
      </w:r>
      <w:proofErr w:type="spellStart"/>
      <w:r w:rsidRPr="00D94D7A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елікарняні</w:t>
      </w:r>
      <w:proofErr w:type="spellEnd"/>
      <w:r w:rsidRPr="00D94D7A">
        <w:rPr>
          <w:rFonts w:ascii="Times New Roman" w:hAnsi="Times New Roman" w:cs="Times New Roman"/>
          <w:color w:val="000000"/>
          <w:sz w:val="28"/>
          <w:szCs w:val="28"/>
        </w:rPr>
        <w:t xml:space="preserve">). Щодо інших консультували у коментарях </w:t>
      </w:r>
      <w:proofErr w:type="spellStart"/>
      <w:r w:rsidRPr="00D94D7A">
        <w:rPr>
          <w:rFonts w:ascii="Times New Roman" w:hAnsi="Times New Roman" w:cs="Times New Roman"/>
          <w:color w:val="000000"/>
          <w:sz w:val="28"/>
          <w:szCs w:val="28"/>
        </w:rPr>
        <w:t>в </w:t>
      </w:r>
      <w:r w:rsidRPr="00D94D7A">
        <w:rPr>
          <w:rStyle w:val="spelle"/>
          <w:rFonts w:ascii="Times New Roman" w:hAnsi="Times New Roman" w:cs="Times New Roman"/>
          <w:color w:val="000000"/>
          <w:sz w:val="28"/>
          <w:szCs w:val="28"/>
        </w:rPr>
        <w:t>соцмережах</w:t>
      </w:r>
      <w:proofErr w:type="spellEnd"/>
      <w:r w:rsidRPr="00D94D7A">
        <w:rPr>
          <w:rFonts w:ascii="Times New Roman" w:hAnsi="Times New Roman" w:cs="Times New Roman"/>
          <w:color w:val="000000"/>
          <w:sz w:val="28"/>
          <w:szCs w:val="28"/>
        </w:rPr>
        <w:t> і під час індивідуальних звернень.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>Публікуємо відповіді на найпоширеніші із запитань, які ми отримуємо від застрахованих осіб і їх роботодавців, та які ще не висвітлювали в роз’ясненнях: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Як зрозуміти, отримав працівник невиробничу травму або мав загальне захворювання, якщо йому створено е-лікарняний з причиною непрацездатності «1»?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>В електронних лікарняних причина непрацездатності вказується за оновленими кодами – вони відрізняються від визначених для паперових листків непрацездатності. Якщо в паперових лікарняних для загального захворювання та травми невиробничого характеру визначено два різні коди, то в електронному в обох випадках вказується код «1 - Тимчасова непрацездатність внаслідок захворювання або травми, що не пов’язані з нещасним випадком на виробництві».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>Діагноз – персональні дані працівника. Тож з’ясовувати деталізовану причину непрацездатності не варто.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Коли в паперових лікарняних зазначено, що працівник мав травму невиробничого характеру, роботодавці запитують в співробітника пояснення. Чи потрібно це роботи у випадку е-лікарняних?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>Роботодавці брали в працівників пояснення щодо обставин травмування, аби правильно призначити матеріальне забезпечення. Адже допомога по тимчасовій непрацездатності не надається, наприклад, у разі одержання травми при вчиненні кримінального правопорушення, навмисного заподіяння шкоди своєму здоров’ю, хвороби або травми через сп’яніння тощо.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Оскільки в е-лікарняних неможливо визначити, мав працівник травму або загальне захворювання, запитувати таке пояснення не потрібно.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>Водночас, в е-лікарняному наявна помітка щодо ознак алкогольного чи наркотичного сп’яніння. Якщо тимчасова непрацездатність працівника пов’язана зі сп’янінням, комісія з соціального страхування підприємства має відмовити в призначенні допомоги.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Якщо працівник має довготривале захворювання, то йому оплатять е-лікарняний лише після одужання?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>Ні, застрахованій особі, яка довго хворіє, Фонд соціального страхування України оплатить кожний проміжний е-лікарняний. Як і у випадку паперових листків, один страховий випадок може оформлюватись декількома електронними лікарняними. Вони створюються як продовження первинного і підлягають оплаті кожен після своєї видачі.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>Однак якщо паперовий лікарняний може продовжуватись лікарем одноосібно до 15 календарних днів, то медичні висновки для формування е-лікарняних лікарі можуть створювати самостійно терміном до 30 календарних днів. Подальше підтвердження тимчасової непрацездатності потребує огляду лікарсько-консультативною комісією (ЛКК).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>Орієнтовний термін непрацездатності пацієнта, визначений у е-лікарняному, має ґрунтуватись на індивідуальних показниках стану здоров’я людини та медичних протоколах. Якщо пацієнт не одужає в орієнтовно визначений при огляді термін, лікар сформує новий медичний висновок, на підставі якого сформується окремий, продовжений е-лікарняний.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>Оскільки електронний лікарняний працівника стає готовим до сплати лише після завершення визначеного у ньому періоду непрацездатності, не варто формувати надто довгі медичні висновки, якщо для цього немає вагомих підстав.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 xml:space="preserve">Багато запитань, що надходять до ФССУ, стосуються функціонування і роботи кабінету страхувальника </w:t>
      </w:r>
      <w:proofErr w:type="spellStart"/>
      <w:r w:rsidRPr="00D94D7A">
        <w:rPr>
          <w:rFonts w:ascii="Times New Roman" w:hAnsi="Times New Roman" w:cs="Times New Roman"/>
          <w:color w:val="000000"/>
          <w:sz w:val="28"/>
          <w:szCs w:val="28"/>
        </w:rPr>
        <w:t>на </w:t>
      </w:r>
      <w:r w:rsidRPr="00D94D7A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вебпорталі</w:t>
      </w:r>
      <w:r w:rsidRPr="00D94D7A">
        <w:rPr>
          <w:rFonts w:ascii="Times New Roman" w:hAnsi="Times New Roman" w:cs="Times New Roman"/>
          <w:color w:val="000000"/>
          <w:sz w:val="28"/>
          <w:szCs w:val="28"/>
        </w:rPr>
        <w:t> Пенсійн</w:t>
      </w:r>
      <w:proofErr w:type="spellEnd"/>
      <w:r w:rsidRPr="00D94D7A">
        <w:rPr>
          <w:rFonts w:ascii="Times New Roman" w:hAnsi="Times New Roman" w:cs="Times New Roman"/>
          <w:color w:val="000000"/>
          <w:sz w:val="28"/>
          <w:szCs w:val="28"/>
        </w:rPr>
        <w:t>ого фонду України. Щодо цих питань потрібно звертатись на гарячу лінію ПФУ: 0-800-503-753.</w:t>
      </w:r>
    </w:p>
    <w:p w:rsidR="00D94D7A" w:rsidRPr="00D94D7A" w:rsidRDefault="00D94D7A" w:rsidP="00D94D7A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4D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Добірка основних публікацій щодо електронних лікарняних:</w:t>
      </w:r>
    </w:p>
    <w:p w:rsidR="00D94D7A" w:rsidRPr="00D94D7A" w:rsidRDefault="00D94D7A" w:rsidP="00D94D7A">
      <w:pPr>
        <w:shd w:val="clear" w:color="auto" w:fill="F7F7F7"/>
        <w:spacing w:before="60"/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>● Коли на час перехідного періоду е-лікарняні стають готовими до сплати:</w:t>
      </w:r>
      <w:proofErr w:type="spellStart"/>
      <w:r w:rsidRPr="00D94D7A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7" w:history="1">
        <w:r w:rsidRPr="00D94D7A">
          <w:rPr>
            <w:rStyle w:val="af1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D94D7A">
          <w:rPr>
            <w:rStyle w:val="af1"/>
            <w:rFonts w:ascii="Times New Roman" w:hAnsi="Times New Roman" w:cs="Times New Roman"/>
            <w:sz w:val="28"/>
            <w:szCs w:val="28"/>
          </w:rPr>
          <w:t>s://t.me/socialfund/1395</w:t>
        </w:r>
      </w:hyperlink>
    </w:p>
    <w:p w:rsidR="00D94D7A" w:rsidRPr="00D94D7A" w:rsidRDefault="00D94D7A" w:rsidP="00D94D7A">
      <w:pPr>
        <w:shd w:val="clear" w:color="auto" w:fill="F7F7F7"/>
        <w:spacing w:before="60"/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>● Які особливості оформлення заяви-розрахунку за е-лікарняними:</w:t>
      </w:r>
      <w:proofErr w:type="spellStart"/>
      <w:r w:rsidRPr="00D94D7A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8" w:history="1">
        <w:r w:rsidRPr="00D94D7A">
          <w:rPr>
            <w:rStyle w:val="af1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D94D7A">
          <w:rPr>
            <w:rStyle w:val="af1"/>
            <w:rFonts w:ascii="Times New Roman" w:hAnsi="Times New Roman" w:cs="Times New Roman"/>
            <w:sz w:val="28"/>
            <w:szCs w:val="28"/>
          </w:rPr>
          <w:t>s://t.me/socialfund/1408</w:t>
        </w:r>
      </w:hyperlink>
    </w:p>
    <w:p w:rsidR="00D94D7A" w:rsidRPr="00D94D7A" w:rsidRDefault="00D94D7A" w:rsidP="00D94D7A">
      <w:pPr>
        <w:shd w:val="clear" w:color="auto" w:fill="F7F7F7"/>
        <w:spacing w:before="60"/>
        <w:ind w:firstLine="709"/>
        <w:rPr>
          <w:rFonts w:ascii="Times New Roman" w:hAnsi="Times New Roman" w:cs="Times New Roman"/>
          <w:color w:val="676767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>● Як можна подати заяву-розрахунок за е-лікарняними:</w:t>
      </w:r>
      <w:proofErr w:type="spellStart"/>
      <w:r w:rsidRPr="00D94D7A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9" w:history="1">
        <w:r w:rsidRPr="00D94D7A">
          <w:rPr>
            <w:rStyle w:val="af1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D94D7A">
          <w:rPr>
            <w:rStyle w:val="af1"/>
            <w:rFonts w:ascii="Times New Roman" w:hAnsi="Times New Roman" w:cs="Times New Roman"/>
            <w:sz w:val="28"/>
            <w:szCs w:val="28"/>
          </w:rPr>
          <w:t>s://t.me/socialfund/1389</w:t>
        </w:r>
      </w:hyperlink>
    </w:p>
    <w:p w:rsidR="00D94D7A" w:rsidRPr="00D94D7A" w:rsidRDefault="00D94D7A" w:rsidP="00D94D7A">
      <w:pPr>
        <w:shd w:val="clear" w:color="auto" w:fill="F7F7F7"/>
        <w:spacing w:before="60"/>
        <w:ind w:firstLine="709"/>
        <w:rPr>
          <w:rFonts w:ascii="Times New Roman" w:hAnsi="Times New Roman" w:cs="Times New Roman"/>
          <w:color w:val="676767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>● Як діяти працівнику, якщо йому відкрили е-лікарняний:</w:t>
      </w:r>
      <w:proofErr w:type="spellStart"/>
      <w:r w:rsidRPr="00D94D7A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10" w:history="1">
        <w:r w:rsidRPr="00D94D7A">
          <w:rPr>
            <w:rStyle w:val="af1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D94D7A">
          <w:rPr>
            <w:rStyle w:val="af1"/>
            <w:rFonts w:ascii="Times New Roman" w:hAnsi="Times New Roman" w:cs="Times New Roman"/>
            <w:sz w:val="28"/>
            <w:szCs w:val="28"/>
          </w:rPr>
          <w:t>s://t.me/socialfund/1351</w:t>
        </w:r>
      </w:hyperlink>
    </w:p>
    <w:p w:rsidR="00D94D7A" w:rsidRPr="00D94D7A" w:rsidRDefault="00D94D7A" w:rsidP="00D94D7A">
      <w:pPr>
        <w:shd w:val="clear" w:color="auto" w:fill="F7F7F7"/>
        <w:spacing w:before="60"/>
        <w:ind w:firstLine="709"/>
        <w:rPr>
          <w:rFonts w:ascii="Times New Roman" w:hAnsi="Times New Roman" w:cs="Times New Roman"/>
          <w:color w:val="676767"/>
          <w:sz w:val="28"/>
          <w:szCs w:val="28"/>
        </w:rPr>
      </w:pPr>
      <w:r w:rsidRPr="00D94D7A">
        <w:rPr>
          <w:rFonts w:ascii="Times New Roman" w:hAnsi="Times New Roman" w:cs="Times New Roman"/>
          <w:color w:val="000000"/>
          <w:sz w:val="28"/>
          <w:szCs w:val="28"/>
        </w:rPr>
        <w:t>● Як діяти роботодавцю, якщо працівнику відкрили е-лікарняний:</w:t>
      </w:r>
      <w:proofErr w:type="spellStart"/>
      <w:r w:rsidRPr="00D94D7A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11" w:history="1">
        <w:r w:rsidRPr="00D94D7A">
          <w:rPr>
            <w:rStyle w:val="af1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D94D7A">
          <w:rPr>
            <w:rStyle w:val="af1"/>
            <w:rFonts w:ascii="Times New Roman" w:hAnsi="Times New Roman" w:cs="Times New Roman"/>
            <w:sz w:val="28"/>
            <w:szCs w:val="28"/>
          </w:rPr>
          <w:t>s://t.me/socialfund/1356</w:t>
        </w:r>
      </w:hyperlink>
    </w:p>
    <w:p w:rsidR="00FB0071" w:rsidRPr="000677C4" w:rsidRDefault="00FB0071" w:rsidP="0087361F">
      <w:pPr>
        <w:ind w:left="4956" w:firstLine="714"/>
        <w:rPr>
          <w:rFonts w:ascii="Times New Roman" w:hAnsi="Times New Roman" w:cs="Times New Roman"/>
          <w:b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068C4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677C4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2B6D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6B06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050A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1001"/>
    <w:rsid w:val="0057697B"/>
    <w:rsid w:val="005778E4"/>
    <w:rsid w:val="0058016C"/>
    <w:rsid w:val="00591CC3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4D7D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0B9B"/>
    <w:rsid w:val="008E10F6"/>
    <w:rsid w:val="00911201"/>
    <w:rsid w:val="00920573"/>
    <w:rsid w:val="00931759"/>
    <w:rsid w:val="00933013"/>
    <w:rsid w:val="00933109"/>
    <w:rsid w:val="00956E53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3AEB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27770"/>
    <w:rsid w:val="00C31BCC"/>
    <w:rsid w:val="00C359D4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067"/>
    <w:rsid w:val="00D75B33"/>
    <w:rsid w:val="00D82BE5"/>
    <w:rsid w:val="00D86F55"/>
    <w:rsid w:val="00D94D7A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2B3F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ocialfund/140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t.me/socialfund/139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11" Type="http://schemas.openxmlformats.org/officeDocument/2006/relationships/hyperlink" Target="https://t.me/socialfund/135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.me/socialfund/13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socialfund/13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2021-09-17T06:50:00Z</dcterms:created>
  <dcterms:modified xsi:type="dcterms:W3CDTF">2021-09-17T06:50:00Z</dcterms:modified>
</cp:coreProperties>
</file>